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3F" w:rsidRPr="009254E1" w:rsidRDefault="0057303F" w:rsidP="0057303F">
      <w:pPr>
        <w:pStyle w:val="SNNature"/>
      </w:pPr>
      <w:r>
        <w:t>C</w:t>
      </w:r>
      <w:r w:rsidRPr="009254E1">
        <w:t>irculaire du</w:t>
      </w:r>
      <w:r w:rsidR="00445CC4">
        <w:t xml:space="preserve"> 10 novembre 2020</w:t>
      </w:r>
    </w:p>
    <w:p w:rsidR="0057303F" w:rsidRDefault="00BF63CA" w:rsidP="0057303F">
      <w:pPr>
        <w:pStyle w:val="SNAutorit"/>
        <w:jc w:val="center"/>
      </w:pPr>
      <w:proofErr w:type="gramStart"/>
      <w:r>
        <w:t>relative</w:t>
      </w:r>
      <w:proofErr w:type="gramEnd"/>
      <w:r>
        <w:t xml:space="preserve"> à l’identification et </w:t>
      </w:r>
      <w:r w:rsidR="006B04D3">
        <w:t xml:space="preserve">aux modalités de prise en charge des agents </w:t>
      </w:r>
      <w:r w:rsidR="00AE0788">
        <w:t xml:space="preserve">publics civils </w:t>
      </w:r>
      <w:r w:rsidR="006B04D3">
        <w:t>reconnus personnes vulnérables</w:t>
      </w:r>
    </w:p>
    <w:p w:rsidR="0057303F" w:rsidRPr="009254E1" w:rsidRDefault="0057303F" w:rsidP="0057303F">
      <w:pPr>
        <w:pStyle w:val="SNNORCentr"/>
        <w:rPr>
          <w:szCs w:val="24"/>
        </w:rPr>
      </w:pPr>
      <w:r w:rsidRPr="009254E1">
        <w:rPr>
          <w:szCs w:val="24"/>
        </w:rPr>
        <w:t>NOR : […]</w:t>
      </w:r>
    </w:p>
    <w:p w:rsidR="0057303F" w:rsidRPr="0057303F" w:rsidRDefault="00EC3F83" w:rsidP="0057303F">
      <w:pPr>
        <w:pStyle w:val="lieuetdate"/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57303F" w:rsidRDefault="0057303F" w:rsidP="0057303F">
      <w:pPr>
        <w:pStyle w:val="lieuetdate"/>
        <w:jc w:val="both"/>
      </w:pPr>
    </w:p>
    <w:p w:rsidR="00841BFB" w:rsidRDefault="00841BFB" w:rsidP="0057303F">
      <w:pPr>
        <w:pStyle w:val="lieuetdate"/>
        <w:jc w:val="both"/>
      </w:pPr>
    </w:p>
    <w:p w:rsidR="00841BFB" w:rsidRPr="009254E1" w:rsidRDefault="00841BFB" w:rsidP="0057303F">
      <w:pPr>
        <w:pStyle w:val="lieuetdate"/>
        <w:jc w:val="both"/>
      </w:pPr>
    </w:p>
    <w:p w:rsidR="0098250A" w:rsidRPr="0098250A" w:rsidRDefault="0098250A" w:rsidP="0098250A">
      <w:pPr>
        <w:pStyle w:val="SNAutorit"/>
        <w:spacing w:before="360"/>
        <w:ind w:firstLine="0"/>
        <w:jc w:val="center"/>
        <w:rPr>
          <w:b/>
        </w:rPr>
      </w:pPr>
      <w:r w:rsidRPr="0098250A">
        <w:rPr>
          <w:b/>
        </w:rPr>
        <w:t>La directrice générale de l’administration et de la fonction publique</w:t>
      </w:r>
    </w:p>
    <w:p w:rsidR="0098250A" w:rsidRPr="0098250A" w:rsidRDefault="0098250A" w:rsidP="0098250A">
      <w:pPr>
        <w:pStyle w:val="SNAutorit"/>
        <w:spacing w:before="360"/>
        <w:ind w:firstLine="0"/>
        <w:jc w:val="center"/>
        <w:rPr>
          <w:b/>
        </w:rPr>
      </w:pPr>
      <w:proofErr w:type="gramStart"/>
      <w:r w:rsidRPr="0098250A">
        <w:rPr>
          <w:b/>
        </w:rPr>
        <w:t>à</w:t>
      </w:r>
      <w:proofErr w:type="gramEnd"/>
      <w:r w:rsidRPr="0098250A">
        <w:rPr>
          <w:b/>
        </w:rPr>
        <w:t xml:space="preserve"> Mesdames et Messieurs les secrétaires généraux des ministères </w:t>
      </w:r>
    </w:p>
    <w:p w:rsidR="00841BFB" w:rsidRPr="00EC2703" w:rsidRDefault="00841BFB"/>
    <w:p w:rsidR="00FA6BCB" w:rsidRDefault="00EB3D34" w:rsidP="00841BFB">
      <w:pPr>
        <w:pStyle w:val="SNAutorit"/>
        <w:jc w:val="both"/>
        <w:rPr>
          <w:bCs/>
        </w:rPr>
      </w:pPr>
      <w:r>
        <w:rPr>
          <w:bCs/>
        </w:rPr>
        <w:t>L’</w:t>
      </w:r>
      <w:r w:rsidR="00FA6BCB" w:rsidRPr="00384E34">
        <w:rPr>
          <w:bCs/>
        </w:rPr>
        <w:t xml:space="preserve">évolution de l’épidémie de COVID-19 est très préoccupante </w:t>
      </w:r>
      <w:r w:rsidR="00FA6BCB">
        <w:rPr>
          <w:bCs/>
        </w:rPr>
        <w:t>sur l’essentiel</w:t>
      </w:r>
      <w:r w:rsidR="00FA6BCB" w:rsidRPr="00384E34">
        <w:rPr>
          <w:bCs/>
        </w:rPr>
        <w:t xml:space="preserve"> du territoire</w:t>
      </w:r>
      <w:r w:rsidR="00FA6BCB">
        <w:rPr>
          <w:bCs/>
        </w:rPr>
        <w:t xml:space="preserve"> national</w:t>
      </w:r>
      <w:r>
        <w:rPr>
          <w:bCs/>
        </w:rPr>
        <w:t xml:space="preserve">. </w:t>
      </w:r>
      <w:r w:rsidR="00CF0030">
        <w:rPr>
          <w:bCs/>
        </w:rPr>
        <w:t>Des mesures fortes ont</w:t>
      </w:r>
      <w:r>
        <w:rPr>
          <w:bCs/>
        </w:rPr>
        <w:t xml:space="preserve"> été prise</w:t>
      </w:r>
      <w:r w:rsidR="00CF0030">
        <w:rPr>
          <w:bCs/>
        </w:rPr>
        <w:t>s</w:t>
      </w:r>
      <w:r>
        <w:rPr>
          <w:bCs/>
        </w:rPr>
        <w:t xml:space="preserve"> pour freiner la circulation du virus et concilier les impératifs de protection des agents – qui c</w:t>
      </w:r>
      <w:r w:rsidR="004229BB">
        <w:rPr>
          <w:bCs/>
        </w:rPr>
        <w:t>onstitue la priorité absolue - et</w:t>
      </w:r>
      <w:r>
        <w:rPr>
          <w:bCs/>
        </w:rPr>
        <w:t xml:space="preserve"> des usagers et la continuité des services publics indispensables à la vie de la Nation.</w:t>
      </w:r>
    </w:p>
    <w:p w:rsidR="00F51990" w:rsidRDefault="007B00AE" w:rsidP="00D551BA">
      <w:pPr>
        <w:pStyle w:val="SNAutorit"/>
        <w:jc w:val="both"/>
      </w:pPr>
      <w:r>
        <w:t xml:space="preserve">Les dispositions de la présente circulaire </w:t>
      </w:r>
      <w:r w:rsidR="004229BB">
        <w:t xml:space="preserve">visent à clarifier le dispositif relatif </w:t>
      </w:r>
      <w:r w:rsidR="004229BB" w:rsidRPr="004229BB">
        <w:t xml:space="preserve">aux agents </w:t>
      </w:r>
      <w:r w:rsidR="00CF0030">
        <w:t>dits</w:t>
      </w:r>
      <w:r w:rsidR="004229BB" w:rsidRPr="004229BB">
        <w:t xml:space="preserve"> </w:t>
      </w:r>
      <w:r w:rsidR="00CF0030">
        <w:t>« </w:t>
      </w:r>
      <w:r w:rsidR="004229BB" w:rsidRPr="004229BB">
        <w:t>vulnérables</w:t>
      </w:r>
      <w:r w:rsidR="00CF0030">
        <w:t> »,</w:t>
      </w:r>
      <w:r w:rsidR="004229BB" w:rsidRPr="004229BB">
        <w:t xml:space="preserve"> présentant un risque élevé de développer une forme grave d’infection au virus.</w:t>
      </w:r>
      <w:r w:rsidR="00D551BA">
        <w:t xml:space="preserve"> </w:t>
      </w:r>
      <w:r w:rsidR="002E7EF1">
        <w:t>Elle</w:t>
      </w:r>
      <w:r w:rsidR="00D551BA">
        <w:t>s</w:t>
      </w:r>
      <w:r w:rsidR="002E7EF1">
        <w:t xml:space="preserve"> </w:t>
      </w:r>
      <w:r>
        <w:t>reprennent et adaptent à la fonction publique les dispositions du dé</w:t>
      </w:r>
      <w:r w:rsidR="00A41D48">
        <w:t xml:space="preserve">cret </w:t>
      </w:r>
      <w:r w:rsidR="00445CC4" w:rsidRPr="00445CC4">
        <w:t>pris pour l’application de l’article 20 de la loi n°2020-473 du 25 avril 2020 de finances rectificatives pour</w:t>
      </w:r>
      <w:r w:rsidR="00445CC4">
        <w:t xml:space="preserve"> 2020</w:t>
      </w:r>
      <w:r w:rsidR="00A41D48">
        <w:t xml:space="preserve"> applicable</w:t>
      </w:r>
      <w:r>
        <w:t xml:space="preserve"> aux salariés. </w:t>
      </w:r>
    </w:p>
    <w:p w:rsidR="00FA6BCB" w:rsidRDefault="00FA6BCB" w:rsidP="00841BFB">
      <w:pPr>
        <w:pStyle w:val="SNAutorit"/>
        <w:jc w:val="both"/>
      </w:pPr>
    </w:p>
    <w:p w:rsidR="00D2555F" w:rsidRDefault="00A41D48" w:rsidP="00100C58">
      <w:pPr>
        <w:pStyle w:val="SNAutorit"/>
        <w:numPr>
          <w:ilvl w:val="0"/>
          <w:numId w:val="7"/>
        </w:numPr>
        <w:jc w:val="both"/>
        <w:rPr>
          <w:b/>
        </w:rPr>
      </w:pPr>
      <w:r w:rsidRPr="00D2555F">
        <w:rPr>
          <w:b/>
        </w:rPr>
        <w:t>C</w:t>
      </w:r>
      <w:r w:rsidR="00DD1DEB" w:rsidRPr="00D2555F">
        <w:rPr>
          <w:b/>
        </w:rPr>
        <w:t xml:space="preserve">ritères permettant l’identification des personnes vulnérables </w:t>
      </w:r>
    </w:p>
    <w:p w:rsidR="00A66331" w:rsidRDefault="00296294" w:rsidP="00A66331">
      <w:pPr>
        <w:shd w:val="clear" w:color="auto" w:fill="FFFFFF"/>
        <w:spacing w:after="180"/>
        <w:ind w:firstLine="708"/>
        <w:jc w:val="both"/>
      </w:pPr>
      <w:r>
        <w:t xml:space="preserve">Les critères de vulnérabilité sont </w:t>
      </w:r>
      <w:r w:rsidR="00DD1DEB" w:rsidRPr="00841BFB">
        <w:t xml:space="preserve">définis </w:t>
      </w:r>
      <w:r w:rsidR="00A41D48">
        <w:t>par l’article 1</w:t>
      </w:r>
      <w:r w:rsidR="00A41D48" w:rsidRPr="00D2555F">
        <w:rPr>
          <w:vertAlign w:val="superscript"/>
        </w:rPr>
        <w:t>er</w:t>
      </w:r>
      <w:r w:rsidR="00A41D48">
        <w:t xml:space="preserve"> du décret </w:t>
      </w:r>
      <w:r w:rsidR="00445CC4" w:rsidRPr="00445CC4">
        <w:t>pris pour l’application de l’article 20 de la loi n°2020-473 du 25 avril 2020 de finances rectificatives pour 2020</w:t>
      </w:r>
      <w:r w:rsidR="005E2889">
        <w:t> :</w:t>
      </w:r>
      <w:r w:rsidR="00A66331" w:rsidRPr="00A66331">
        <w:t xml:space="preserve"> </w:t>
      </w:r>
    </w:p>
    <w:p w:rsidR="00A66331" w:rsidRDefault="00A66331" w:rsidP="00A66331">
      <w:pPr>
        <w:shd w:val="clear" w:color="auto" w:fill="FFFFFF"/>
        <w:spacing w:after="180"/>
        <w:ind w:firstLine="708"/>
        <w:jc w:val="both"/>
      </w:pPr>
      <w:r>
        <w:t>a) Etre âgé de 65 ans et plus ;</w:t>
      </w:r>
    </w:p>
    <w:p w:rsidR="00A66331" w:rsidRDefault="00A66331" w:rsidP="00A66331">
      <w:pPr>
        <w:shd w:val="clear" w:color="auto" w:fill="FFFFFF"/>
        <w:spacing w:after="180"/>
        <w:ind w:firstLine="708"/>
        <w:jc w:val="both"/>
      </w:pPr>
      <w:r>
        <w:t xml:space="preserve">b) Avoir des antécédents (ATCD) cardiovasculaires : hypertension artérielle compliquée (avec complications cardiaques, rénales et </w:t>
      </w:r>
      <w:proofErr w:type="spellStart"/>
      <w:r>
        <w:t>vasculo</w:t>
      </w:r>
      <w:proofErr w:type="spellEnd"/>
      <w:r>
        <w:t>-cérébrales), ATCD d'accident vasculaire cérébral ou de coronaropathie, de chirurgie cardiaque, insuffisance cardiaque stade NYHA III ou IV ;</w:t>
      </w:r>
    </w:p>
    <w:p w:rsidR="00A66331" w:rsidRDefault="00A66331" w:rsidP="00A66331">
      <w:pPr>
        <w:shd w:val="clear" w:color="auto" w:fill="FFFFFF"/>
        <w:spacing w:after="180"/>
        <w:ind w:firstLine="708"/>
        <w:jc w:val="both"/>
      </w:pPr>
      <w:r>
        <w:t>c) Avoir un diabète non équilibré ou présentant des complications ;</w:t>
      </w:r>
    </w:p>
    <w:p w:rsidR="00A66331" w:rsidRDefault="00A66331" w:rsidP="00A66331">
      <w:pPr>
        <w:shd w:val="clear" w:color="auto" w:fill="FFFFFF"/>
        <w:spacing w:after="180"/>
        <w:ind w:firstLine="708"/>
        <w:jc w:val="both"/>
      </w:pPr>
      <w:r>
        <w:t>d) Présenter une pathologie chronique respiratoire susceptible de décompenser lors d'une infection virale : (broncho pneumopathie obstructive, asthme sévère, fibrose pulmonaire, syndrome d'apnées du sommeil, mucoviscidose notamment) ;</w:t>
      </w:r>
    </w:p>
    <w:p w:rsidR="00A66331" w:rsidRDefault="00A66331" w:rsidP="00A66331">
      <w:pPr>
        <w:shd w:val="clear" w:color="auto" w:fill="FFFFFF"/>
        <w:spacing w:after="180"/>
        <w:ind w:firstLine="708"/>
        <w:jc w:val="both"/>
      </w:pPr>
      <w:r>
        <w:t>e) Présenter une insuffisance rénale chronique dialysée ;</w:t>
      </w:r>
    </w:p>
    <w:p w:rsidR="00A66331" w:rsidRDefault="00A66331" w:rsidP="00A66331">
      <w:pPr>
        <w:shd w:val="clear" w:color="auto" w:fill="FFFFFF"/>
        <w:spacing w:after="180"/>
        <w:ind w:firstLine="708"/>
        <w:jc w:val="both"/>
      </w:pPr>
      <w:r>
        <w:lastRenderedPageBreak/>
        <w:t>f) Etre atteint de cancer évolutif sous traitement (hors hormonothérapie) ;</w:t>
      </w:r>
    </w:p>
    <w:p w:rsidR="00A66331" w:rsidRDefault="00A66331" w:rsidP="00A66331">
      <w:pPr>
        <w:shd w:val="clear" w:color="auto" w:fill="FFFFFF"/>
        <w:spacing w:after="180"/>
        <w:ind w:firstLine="708"/>
        <w:jc w:val="both"/>
      </w:pPr>
      <w:r>
        <w:t>g) Présenter une obésité (indice de masse corporelle (IMC) &gt; 30 kgm2) ;</w:t>
      </w:r>
    </w:p>
    <w:p w:rsidR="00A66331" w:rsidRDefault="00A66331" w:rsidP="00A66331">
      <w:pPr>
        <w:shd w:val="clear" w:color="auto" w:fill="FFFFFF"/>
        <w:spacing w:after="180"/>
        <w:ind w:firstLine="708"/>
        <w:jc w:val="both"/>
      </w:pPr>
      <w:r>
        <w:t>h) Etre atteint d'une immunodépression congénitale ou acquise :</w:t>
      </w:r>
    </w:p>
    <w:p w:rsidR="00A66331" w:rsidRDefault="00A66331" w:rsidP="00A66331">
      <w:pPr>
        <w:shd w:val="clear" w:color="auto" w:fill="FFFFFF"/>
        <w:spacing w:after="180"/>
        <w:ind w:firstLine="708"/>
        <w:jc w:val="both"/>
      </w:pPr>
      <w:r>
        <w:t>- médicamenteuse : chimiothérapie anti cancéreuse, traitement immunosuppresseur, biothérapie et/ou corticothérapie à dose immunosuppressive ;</w:t>
      </w:r>
    </w:p>
    <w:p w:rsidR="00A66331" w:rsidRDefault="00A66331" w:rsidP="00A66331">
      <w:pPr>
        <w:shd w:val="clear" w:color="auto" w:fill="FFFFFF"/>
        <w:spacing w:after="180"/>
        <w:ind w:firstLine="708"/>
        <w:jc w:val="both"/>
      </w:pPr>
      <w:r>
        <w:t>- infection à VIH non contrôlée ou avec des CD4 &lt; 200/mm3 ;</w:t>
      </w:r>
    </w:p>
    <w:p w:rsidR="00A66331" w:rsidRDefault="00A66331" w:rsidP="00A66331">
      <w:pPr>
        <w:shd w:val="clear" w:color="auto" w:fill="FFFFFF"/>
        <w:spacing w:after="180"/>
        <w:ind w:firstLine="708"/>
        <w:jc w:val="both"/>
      </w:pPr>
      <w:r>
        <w:t>- consécutive à une greffe d'organe solide ou de cellules souches hématopoïétiques ;</w:t>
      </w:r>
    </w:p>
    <w:p w:rsidR="00A66331" w:rsidRDefault="00A66331" w:rsidP="00A66331">
      <w:pPr>
        <w:shd w:val="clear" w:color="auto" w:fill="FFFFFF"/>
        <w:spacing w:after="180"/>
        <w:ind w:firstLine="708"/>
        <w:jc w:val="both"/>
      </w:pPr>
      <w:r>
        <w:t>- liée à une hémopathie maligne en cours de traitement ;</w:t>
      </w:r>
    </w:p>
    <w:p w:rsidR="00A66331" w:rsidRDefault="00A66331" w:rsidP="00A66331">
      <w:pPr>
        <w:shd w:val="clear" w:color="auto" w:fill="FFFFFF"/>
        <w:spacing w:after="180"/>
        <w:ind w:firstLine="708"/>
        <w:jc w:val="both"/>
      </w:pPr>
      <w:r>
        <w:t xml:space="preserve">i) Etre atteint de cirrhose au stade B du score de Child </w:t>
      </w:r>
      <w:proofErr w:type="spellStart"/>
      <w:r>
        <w:t>Pugh</w:t>
      </w:r>
      <w:proofErr w:type="spellEnd"/>
      <w:r>
        <w:t xml:space="preserve"> au moins ;</w:t>
      </w:r>
    </w:p>
    <w:p w:rsidR="00A66331" w:rsidRDefault="00A66331" w:rsidP="00A66331">
      <w:pPr>
        <w:shd w:val="clear" w:color="auto" w:fill="FFFFFF"/>
        <w:spacing w:after="180"/>
        <w:ind w:firstLine="708"/>
        <w:jc w:val="both"/>
      </w:pPr>
      <w:r>
        <w:t>j) Présenter un syndrome drépanocytaire majeur ou ayant un antécédent de splénectomie</w:t>
      </w:r>
    </w:p>
    <w:p w:rsidR="00A66331" w:rsidRDefault="00A66331" w:rsidP="00A66331">
      <w:pPr>
        <w:shd w:val="clear" w:color="auto" w:fill="FFFFFF"/>
        <w:spacing w:after="180"/>
        <w:ind w:firstLine="708"/>
        <w:jc w:val="both"/>
      </w:pPr>
      <w:r>
        <w:t xml:space="preserve">k) Etre </w:t>
      </w:r>
      <w:r w:rsidRPr="00CD3EEC">
        <w:t>au troi</w:t>
      </w:r>
      <w:r>
        <w:t>sième trimestre de la grossesse ;</w:t>
      </w:r>
    </w:p>
    <w:p w:rsidR="00A66331" w:rsidRDefault="00A66331" w:rsidP="00A66331">
      <w:pPr>
        <w:shd w:val="clear" w:color="auto" w:fill="FFFFFF"/>
        <w:spacing w:after="180"/>
        <w:ind w:firstLine="708"/>
        <w:jc w:val="both"/>
      </w:pPr>
      <w:r>
        <w:t>l) Etre atteint d’une maladie</w:t>
      </w:r>
      <w:r w:rsidRPr="002C575C">
        <w:t xml:space="preserve"> du motoneurone, </w:t>
      </w:r>
      <w:r>
        <w:t xml:space="preserve">d’une </w:t>
      </w:r>
      <w:r w:rsidRPr="002C575C">
        <w:t xml:space="preserve">myasthénie grave, </w:t>
      </w:r>
      <w:r>
        <w:t xml:space="preserve">de </w:t>
      </w:r>
      <w:r w:rsidRPr="002C575C">
        <w:t xml:space="preserve">sclérose en plaques, </w:t>
      </w:r>
      <w:r>
        <w:t xml:space="preserve">de la </w:t>
      </w:r>
      <w:r w:rsidRPr="002C575C">
        <w:t xml:space="preserve">maladie de Parkinson, </w:t>
      </w:r>
      <w:r>
        <w:t xml:space="preserve">de </w:t>
      </w:r>
      <w:r w:rsidRPr="002C575C">
        <w:t xml:space="preserve">paralysie cérébrale, </w:t>
      </w:r>
      <w:r>
        <w:t xml:space="preserve">de </w:t>
      </w:r>
      <w:r w:rsidRPr="002C575C">
        <w:t xml:space="preserve">quadriplégie ou hémiplégie, </w:t>
      </w:r>
      <w:r>
        <w:t xml:space="preserve">d’une </w:t>
      </w:r>
      <w:r w:rsidRPr="002C575C">
        <w:t xml:space="preserve">tumeur maligne primitive cérébrale, </w:t>
      </w:r>
      <w:r>
        <w:t xml:space="preserve">d’une </w:t>
      </w:r>
      <w:r w:rsidRPr="002C575C">
        <w:t>maladie cérébelleuse progressive</w:t>
      </w:r>
      <w:r>
        <w:t xml:space="preserve"> ou </w:t>
      </w:r>
      <w:r w:rsidR="00E65167">
        <w:t>d’une maladie rare.</w:t>
      </w:r>
    </w:p>
    <w:p w:rsidR="00556044" w:rsidRPr="00841BFB" w:rsidRDefault="00556044" w:rsidP="00A66331">
      <w:pPr>
        <w:pStyle w:val="SNAutorit"/>
        <w:jc w:val="both"/>
      </w:pPr>
    </w:p>
    <w:p w:rsidR="00100C58" w:rsidRDefault="00AC0F3F" w:rsidP="00556044">
      <w:pPr>
        <w:pStyle w:val="SNAutorit"/>
        <w:numPr>
          <w:ilvl w:val="0"/>
          <w:numId w:val="7"/>
        </w:numPr>
        <w:jc w:val="both"/>
      </w:pPr>
      <w:r w:rsidRPr="00556044">
        <w:rPr>
          <w:b/>
        </w:rPr>
        <w:t>M</w:t>
      </w:r>
      <w:r w:rsidR="00F51990" w:rsidRPr="00556044">
        <w:rPr>
          <w:b/>
        </w:rPr>
        <w:t>odalités</w:t>
      </w:r>
      <w:r w:rsidRPr="00556044">
        <w:rPr>
          <w:b/>
        </w:rPr>
        <w:t xml:space="preserve"> d’organisation du travail et</w:t>
      </w:r>
      <w:r w:rsidR="00F51990" w:rsidRPr="00556044">
        <w:rPr>
          <w:b/>
        </w:rPr>
        <w:t xml:space="preserve"> de prise en charge des personnes</w:t>
      </w:r>
      <w:r w:rsidR="00F51990" w:rsidRPr="00100C58">
        <w:rPr>
          <w:b/>
        </w:rPr>
        <w:t xml:space="preserve"> vulnérables </w:t>
      </w:r>
    </w:p>
    <w:p w:rsidR="00F51990" w:rsidRDefault="00F51990" w:rsidP="00100C58">
      <w:pPr>
        <w:pStyle w:val="SNAutorit"/>
        <w:jc w:val="both"/>
      </w:pPr>
      <w:r w:rsidRPr="00DA4961">
        <w:t>La prise en charge spécifique des agents publics vulnérables ne peut être engagée qu’à la demande de ceux-ci et sur la base d’un certificat délivré par un médecin traitan</w:t>
      </w:r>
      <w:r w:rsidRPr="0040342A">
        <w:t>t</w:t>
      </w:r>
      <w:r w:rsidR="0040342A">
        <w:t>. Le certificat n’est pas requis lorsque l’agent justifie</w:t>
      </w:r>
      <w:bookmarkStart w:id="0" w:name="_GoBack"/>
      <w:bookmarkEnd w:id="0"/>
      <w:r w:rsidR="0040342A">
        <w:t xml:space="preserve"> remplir le critère </w:t>
      </w:r>
      <w:r w:rsidR="00193A77" w:rsidRPr="0040342A">
        <w:t>d’âge mentionné au a) du 1</w:t>
      </w:r>
      <w:r w:rsidR="0040342A">
        <w:t xml:space="preserve"> de la présente circulaire</w:t>
      </w:r>
      <w:r w:rsidRPr="0040342A">
        <w:t>.</w:t>
      </w:r>
    </w:p>
    <w:p w:rsidR="00F51990" w:rsidRPr="00DA4961" w:rsidRDefault="00F51990" w:rsidP="00841BFB">
      <w:pPr>
        <w:pStyle w:val="SNAutorit"/>
        <w:jc w:val="both"/>
      </w:pPr>
      <w:r w:rsidRPr="00DA4961">
        <w:t xml:space="preserve">Sur la base de ce certificat, </w:t>
      </w:r>
      <w:r w:rsidR="00E45D97">
        <w:t xml:space="preserve">l’agent est placé en télétravail, </w:t>
      </w:r>
      <w:r w:rsidR="00AC0F3F">
        <w:t>pour l’intégralité de son temps de travail</w:t>
      </w:r>
      <w:r w:rsidR="00E45D97">
        <w:t>.</w:t>
      </w:r>
    </w:p>
    <w:p w:rsidR="00C914CF" w:rsidRDefault="00F51990" w:rsidP="00C914CF">
      <w:pPr>
        <w:pStyle w:val="SNAutorit"/>
        <w:jc w:val="both"/>
      </w:pPr>
      <w:r w:rsidRPr="00F51990">
        <w:t>Si le recours au télétravail</w:t>
      </w:r>
      <w:r w:rsidR="00430A69">
        <w:t xml:space="preserve"> </w:t>
      </w:r>
      <w:r w:rsidRPr="00F51990">
        <w:t xml:space="preserve">est impossible, </w:t>
      </w:r>
      <w:r w:rsidR="005E6477">
        <w:t>i</w:t>
      </w:r>
      <w:r w:rsidR="005E6477" w:rsidRPr="00DA4961">
        <w:t>l appartient à l’employeur de déterminer</w:t>
      </w:r>
      <w:r w:rsidR="00F05967">
        <w:t xml:space="preserve"> </w:t>
      </w:r>
      <w:r w:rsidR="005E6477" w:rsidRPr="00DA4961">
        <w:t xml:space="preserve">les aménagements </w:t>
      </w:r>
      <w:r w:rsidR="00917A0C">
        <w:t xml:space="preserve">de poste </w:t>
      </w:r>
      <w:r w:rsidR="005E6477" w:rsidRPr="00DA4961">
        <w:t xml:space="preserve">nécessaires à la reprise du travail </w:t>
      </w:r>
      <w:r w:rsidR="005E6477">
        <w:t xml:space="preserve">en présentiel </w:t>
      </w:r>
      <w:r w:rsidR="005E6477" w:rsidRPr="00DA4961">
        <w:t>par l’agent concerné</w:t>
      </w:r>
      <w:r w:rsidR="005E6477">
        <w:t>, dans le respect</w:t>
      </w:r>
      <w:r w:rsidR="005E6477" w:rsidRPr="00F51990">
        <w:t xml:space="preserve"> </w:t>
      </w:r>
      <w:r w:rsidRPr="00F51990">
        <w:t>des mesures de protection telles que préc</w:t>
      </w:r>
      <w:r w:rsidR="00556044">
        <w:t>onisées par le Haut Conseil de santé p</w:t>
      </w:r>
      <w:r w:rsidRPr="00F51990">
        <w:t>ublique</w:t>
      </w:r>
      <w:r w:rsidR="0040342A" w:rsidRPr="0040342A">
        <w:t xml:space="preserve"> </w:t>
      </w:r>
      <w:r w:rsidRPr="0040342A">
        <w:t>:</w:t>
      </w:r>
    </w:p>
    <w:p w:rsidR="00C914CF" w:rsidRPr="00771ADE" w:rsidRDefault="00C914CF" w:rsidP="00C914CF">
      <w:pPr>
        <w:keepNext/>
        <w:shd w:val="clear" w:color="auto" w:fill="FFFFFF"/>
        <w:spacing w:before="180"/>
        <w:ind w:firstLine="708"/>
        <w:jc w:val="both"/>
      </w:pPr>
      <w:r>
        <w:t xml:space="preserve">a) L’isolement du poste de travail (bureau individuel ou permettant le respect de la distanciation </w:t>
      </w:r>
      <w:r w:rsidRPr="00771ADE">
        <w:t xml:space="preserve">physique) ou, à défaut, son aménagement, pour limiter au maximum le risque d’exposition (horaires, mise en place de protections) ; </w:t>
      </w:r>
    </w:p>
    <w:p w:rsidR="00C914CF" w:rsidRPr="008A5466" w:rsidRDefault="00C914CF" w:rsidP="00C914CF">
      <w:pPr>
        <w:keepNext/>
        <w:shd w:val="clear" w:color="auto" w:fill="FFFFFF"/>
        <w:spacing w:before="180"/>
        <w:ind w:firstLine="708"/>
        <w:jc w:val="both"/>
      </w:pPr>
      <w:r w:rsidRPr="00771ADE">
        <w:t>b) Le respect strict</w:t>
      </w:r>
      <w:r w:rsidRPr="00E46876">
        <w:t>, sur le lieu de travail,</w:t>
      </w:r>
      <w:r w:rsidRPr="00771ADE">
        <w:t xml:space="preserve"> des gestes barrières applicables (l’hygiène des mains renforcée, le respect de la distanciation physique et le port systématique d’un masque à usage médical lorsque la distanciation physique ne peut être respectée ou en milieu clos, avec </w:t>
      </w:r>
      <w:r w:rsidRPr="00771ADE">
        <w:lastRenderedPageBreak/>
        <w:t xml:space="preserve">changement de ce masque au moins toutes </w:t>
      </w:r>
      <w:r w:rsidRPr="008A5466">
        <w:t>les quatre heures et avant ce délai s’il est mouillé ou humide) ;</w:t>
      </w:r>
    </w:p>
    <w:p w:rsidR="00C914CF" w:rsidRPr="008A5466" w:rsidRDefault="00C914CF" w:rsidP="00C914CF">
      <w:pPr>
        <w:keepNext/>
        <w:shd w:val="clear" w:color="auto" w:fill="FFFFFF"/>
        <w:spacing w:before="180"/>
        <w:ind w:firstLine="708"/>
        <w:jc w:val="both"/>
      </w:pPr>
      <w:r w:rsidRPr="008A5466">
        <w:t>c) L’application des mesures de protection susmentionnées à tout lieu fréquenté par la personne à risque à l’occasion de son activité professi</w:t>
      </w:r>
      <w:r>
        <w:t>onnelle (restaurant administratif notamment</w:t>
      </w:r>
      <w:r w:rsidRPr="008A5466">
        <w:t xml:space="preserve">) ; </w:t>
      </w:r>
    </w:p>
    <w:p w:rsidR="00C914CF" w:rsidRPr="008A5466" w:rsidRDefault="00C914CF" w:rsidP="00C914CF">
      <w:pPr>
        <w:keepNext/>
        <w:shd w:val="clear" w:color="auto" w:fill="FFFFFF"/>
        <w:spacing w:before="180"/>
        <w:ind w:firstLine="708"/>
        <w:jc w:val="both"/>
      </w:pPr>
      <w:r w:rsidRPr="008A5466">
        <w:t xml:space="preserve">d) L’absence ou à défaut la réduction au maximum du partage du poste de travail ; </w:t>
      </w:r>
    </w:p>
    <w:p w:rsidR="00C914CF" w:rsidRPr="008A5466" w:rsidRDefault="00C914CF" w:rsidP="00C914CF">
      <w:pPr>
        <w:keepNext/>
        <w:shd w:val="clear" w:color="auto" w:fill="FFFFFF"/>
        <w:spacing w:before="180"/>
        <w:ind w:firstLine="708"/>
        <w:jc w:val="both"/>
      </w:pPr>
      <w:r w:rsidRPr="008A5466">
        <w:t>e) Le nettoyage et la désinfection du poste de travail et des surfaces touchées par la personne au moins en début et en fin de poste, en particuli</w:t>
      </w:r>
      <w:r>
        <w:t>er lorsque ce poste est partagé ;</w:t>
      </w:r>
    </w:p>
    <w:p w:rsidR="00C914CF" w:rsidRPr="008A5466" w:rsidRDefault="00C914CF" w:rsidP="00C914CF">
      <w:pPr>
        <w:keepNext/>
        <w:shd w:val="clear" w:color="auto" w:fill="FFFFFF"/>
        <w:spacing w:before="180"/>
        <w:ind w:firstLine="708"/>
        <w:jc w:val="both"/>
      </w:pPr>
      <w:r w:rsidRPr="008A5466">
        <w:t xml:space="preserve">f) </w:t>
      </w:r>
      <w:r w:rsidRPr="00E46876">
        <w:t>U</w:t>
      </w:r>
      <w:r w:rsidRPr="008A5466">
        <w:t>ne adaptation des horaires d’arrivée et de départ</w:t>
      </w:r>
      <w:r w:rsidRPr="00E46876">
        <w:t xml:space="preserve"> afin de garantir le respect de la distanciation physique, lorsque les horaires de travail habituels </w:t>
      </w:r>
      <w:r w:rsidR="0040342A">
        <w:t>de l’agent</w:t>
      </w:r>
      <w:r w:rsidRPr="008A5466">
        <w:t xml:space="preserve"> </w:t>
      </w:r>
      <w:r w:rsidRPr="00E46876">
        <w:t>ne permettent pas, compte tenu des moyens de transport qu’il utilise, le respect de cette distanciation au cours du trajet entre le domicile et le lieu de travail ;</w:t>
      </w:r>
    </w:p>
    <w:p w:rsidR="00C914CF" w:rsidRPr="00E46876" w:rsidRDefault="00C914CF" w:rsidP="00C914CF">
      <w:pPr>
        <w:keepNext/>
        <w:shd w:val="clear" w:color="auto" w:fill="FFFFFF"/>
        <w:spacing w:before="180"/>
        <w:ind w:firstLine="708"/>
        <w:jc w:val="both"/>
        <w:rPr>
          <w:rFonts w:ascii="Arial" w:hAnsi="Arial" w:cs="Arial"/>
          <w:sz w:val="20"/>
          <w:szCs w:val="20"/>
        </w:rPr>
      </w:pPr>
      <w:r w:rsidRPr="00E46876">
        <w:t xml:space="preserve">g) La mise à disposition par l’employeur, si les moyens de transport habituellement utilisés par </w:t>
      </w:r>
      <w:r w:rsidR="0040342A">
        <w:t>l’agent</w:t>
      </w:r>
      <w:r w:rsidRPr="00E46876">
        <w:t xml:space="preserve"> pour se rendre sur son lieu de travail l’exposent à des risques d’infection par le virus SARS-CoV-2, de masques à usage médical en nombre suffisant pour couvrir les trajets entre le domicile et le lieu de travail</w:t>
      </w:r>
      <w:r w:rsidR="00E65167">
        <w:t>. </w:t>
      </w:r>
    </w:p>
    <w:p w:rsidR="00C914CF" w:rsidRDefault="00C914CF" w:rsidP="00AC4E4B">
      <w:pPr>
        <w:pStyle w:val="SNAutorit"/>
        <w:ind w:firstLine="0"/>
        <w:jc w:val="both"/>
      </w:pPr>
    </w:p>
    <w:p w:rsidR="006B04D3" w:rsidRPr="00DA4961" w:rsidRDefault="00D4245A" w:rsidP="00841BFB">
      <w:pPr>
        <w:pStyle w:val="SNAutorit"/>
        <w:jc w:val="both"/>
      </w:pPr>
      <w:r>
        <w:t xml:space="preserve">Si </w:t>
      </w:r>
      <w:r w:rsidR="006B04D3" w:rsidRPr="00841BFB">
        <w:t xml:space="preserve">l’employeur </w:t>
      </w:r>
      <w:r w:rsidR="00EF4785" w:rsidRPr="00841BFB">
        <w:t xml:space="preserve">estime être </w:t>
      </w:r>
      <w:r w:rsidR="006B04D3" w:rsidRPr="00841BFB">
        <w:t>dans l’impossibilité d’aménager le poste</w:t>
      </w:r>
      <w:r w:rsidR="00FE61C5" w:rsidRPr="00841BFB">
        <w:t xml:space="preserve"> de façon à protéger suffisamment l’agent</w:t>
      </w:r>
      <w:r w:rsidR="006B04D3" w:rsidRPr="00DA4961">
        <w:t xml:space="preserve">, </w:t>
      </w:r>
      <w:r w:rsidR="00FE61C5" w:rsidRPr="00DA4961">
        <w:t xml:space="preserve">celui-ci est alors </w:t>
      </w:r>
      <w:r w:rsidR="006B04D3" w:rsidRPr="00DA4961">
        <w:t xml:space="preserve">placé en </w:t>
      </w:r>
      <w:r w:rsidR="00516896">
        <w:t>au</w:t>
      </w:r>
      <w:r w:rsidR="00556044">
        <w:t>torisation spéciale d’absence (</w:t>
      </w:r>
      <w:r w:rsidR="006B04D3" w:rsidRPr="00DA4961">
        <w:t>ASA</w:t>
      </w:r>
      <w:r w:rsidR="00556044">
        <w:t>)</w:t>
      </w:r>
      <w:r w:rsidR="006B04D3" w:rsidRPr="00DA4961">
        <w:t>.</w:t>
      </w:r>
    </w:p>
    <w:p w:rsidR="00ED4018" w:rsidRDefault="006B04D3" w:rsidP="00ED4018">
      <w:pPr>
        <w:pStyle w:val="SNAutorit"/>
        <w:jc w:val="both"/>
      </w:pPr>
      <w:r w:rsidRPr="00841BFB">
        <w:t>En cas de désaccord entre l’employeur et l’agent</w:t>
      </w:r>
      <w:r w:rsidRPr="00DA4961">
        <w:t xml:space="preserve"> sur le</w:t>
      </w:r>
      <w:r w:rsidR="00302857">
        <w:t>s mesures de protection mises en œuvre</w:t>
      </w:r>
      <w:r w:rsidRPr="00DA4961">
        <w:t xml:space="preserve">, </w:t>
      </w:r>
      <w:r w:rsidR="00FE61C5" w:rsidRPr="00DA4961">
        <w:t>l’employeur doit saisir le médecin du travail</w:t>
      </w:r>
      <w:r w:rsidR="00122058" w:rsidRPr="00DA4961">
        <w:t>, qui rendra un avis sur la compatibilité des aménagements de poste avec la vulnérabilité</w:t>
      </w:r>
      <w:r w:rsidR="00122058">
        <w:t xml:space="preserve"> de</w:t>
      </w:r>
      <w:r w:rsidR="00FE61C5">
        <w:t xml:space="preserve"> </w:t>
      </w:r>
      <w:r w:rsidRPr="00EC2703">
        <w:t>l’agent</w:t>
      </w:r>
      <w:r w:rsidR="00122058">
        <w:t>.</w:t>
      </w:r>
      <w:r w:rsidR="00516896">
        <w:t xml:space="preserve"> </w:t>
      </w:r>
      <w:r w:rsidR="00122058">
        <w:t xml:space="preserve">En attendant cet avis, l’agent </w:t>
      </w:r>
      <w:r w:rsidR="00B50D74">
        <w:t>est</w:t>
      </w:r>
      <w:r w:rsidR="00122058">
        <w:t xml:space="preserve"> placé </w:t>
      </w:r>
      <w:r w:rsidRPr="00EC2703">
        <w:t>en ASA</w:t>
      </w:r>
      <w:r w:rsidR="00122058">
        <w:t>.</w:t>
      </w:r>
    </w:p>
    <w:p w:rsidR="00100C58" w:rsidRDefault="00100C58" w:rsidP="00DE45E6">
      <w:pPr>
        <w:pStyle w:val="SNAutorit"/>
        <w:ind w:firstLine="0"/>
        <w:jc w:val="both"/>
      </w:pPr>
    </w:p>
    <w:p w:rsidR="000C0CE5" w:rsidRDefault="00D7637E" w:rsidP="002B458E">
      <w:pPr>
        <w:pStyle w:val="SNAutorit"/>
        <w:jc w:val="both"/>
      </w:pPr>
      <w:r>
        <w:t xml:space="preserve">J’appelle votre attention sur la nécessité d’entretenir un dialogue social </w:t>
      </w:r>
      <w:r w:rsidR="00C73BA3">
        <w:t>régulier</w:t>
      </w:r>
      <w:r>
        <w:t xml:space="preserve"> </w:t>
      </w:r>
      <w:r w:rsidR="00516896">
        <w:t xml:space="preserve">avec les organisations syndicales </w:t>
      </w:r>
      <w:r>
        <w:t>sur cette question</w:t>
      </w:r>
      <w:r w:rsidR="00516896">
        <w:t xml:space="preserve"> toute particulière </w:t>
      </w:r>
      <w:r>
        <w:t xml:space="preserve">des agents </w:t>
      </w:r>
      <w:r w:rsidR="007B77E5">
        <w:t>dits « </w:t>
      </w:r>
      <w:r>
        <w:t>vulnérables</w:t>
      </w:r>
      <w:r w:rsidR="007B77E5">
        <w:t> »</w:t>
      </w:r>
      <w:r>
        <w:t>.</w:t>
      </w:r>
      <w:r w:rsidR="007E6D22" w:rsidRPr="007E6D22">
        <w:t xml:space="preserve"> </w:t>
      </w:r>
      <w:r w:rsidR="007E6D22">
        <w:t>Je vous saurai gré de bien vouloir assurer la diffusion large de cette circulaire auprès de vos services.</w:t>
      </w:r>
    </w:p>
    <w:p w:rsidR="000C0CE5" w:rsidRDefault="000C0CE5" w:rsidP="000C0CE5">
      <w:pPr>
        <w:pStyle w:val="SNAutorit"/>
        <w:ind w:left="5670" w:firstLine="0"/>
        <w:jc w:val="both"/>
      </w:pPr>
    </w:p>
    <w:p w:rsidR="0018188A" w:rsidRPr="0018188A" w:rsidRDefault="000C0CE5" w:rsidP="00556044">
      <w:pPr>
        <w:pStyle w:val="SNAutorit"/>
        <w:ind w:left="5670" w:firstLine="0"/>
        <w:jc w:val="both"/>
      </w:pPr>
      <w:r>
        <w:t>Nathalie Colin</w:t>
      </w:r>
    </w:p>
    <w:p w:rsidR="00496BCE" w:rsidRPr="00EC2703" w:rsidRDefault="00496BCE" w:rsidP="0018188A">
      <w:pPr>
        <w:pStyle w:val="SNAutorit"/>
        <w:ind w:firstLine="0"/>
        <w:jc w:val="both"/>
      </w:pPr>
    </w:p>
    <w:sectPr w:rsidR="00496BCE" w:rsidRPr="00EC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CBF"/>
    <w:multiLevelType w:val="hybridMultilevel"/>
    <w:tmpl w:val="B372942A"/>
    <w:lvl w:ilvl="0" w:tplc="7DE077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B78BF"/>
    <w:multiLevelType w:val="hybridMultilevel"/>
    <w:tmpl w:val="258A6CF4"/>
    <w:lvl w:ilvl="0" w:tplc="F4168A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B7A12"/>
    <w:multiLevelType w:val="hybridMultilevel"/>
    <w:tmpl w:val="E952942E"/>
    <w:lvl w:ilvl="0" w:tplc="9F2A7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C06D6B"/>
    <w:multiLevelType w:val="hybridMultilevel"/>
    <w:tmpl w:val="640E0A36"/>
    <w:lvl w:ilvl="0" w:tplc="FE92D6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B94210"/>
    <w:multiLevelType w:val="hybridMultilevel"/>
    <w:tmpl w:val="62105DC8"/>
    <w:lvl w:ilvl="0" w:tplc="D02CCE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D2355"/>
    <w:multiLevelType w:val="hybridMultilevel"/>
    <w:tmpl w:val="78FE29D2"/>
    <w:lvl w:ilvl="0" w:tplc="830CC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35609"/>
    <w:multiLevelType w:val="hybridMultilevel"/>
    <w:tmpl w:val="895E41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C4C0C"/>
    <w:multiLevelType w:val="hybridMultilevel"/>
    <w:tmpl w:val="4F888318"/>
    <w:lvl w:ilvl="0" w:tplc="F4168ACC">
      <w:start w:val="3"/>
      <w:numFmt w:val="bullet"/>
      <w:lvlText w:val="-"/>
      <w:lvlJc w:val="left"/>
      <w:pPr>
        <w:ind w:left="5398" w:hanging="360"/>
      </w:pPr>
      <w:rPr>
        <w:rFonts w:ascii="Times New Roman" w:eastAsia="Times New Roman" w:hAnsi="Times New Roman" w:cs="Times New Roman" w:hint="default"/>
        <w:i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8" w15:restartNumberingAfterBreak="0">
    <w:nsid w:val="61B7661F"/>
    <w:multiLevelType w:val="hybridMultilevel"/>
    <w:tmpl w:val="25D847B8"/>
    <w:lvl w:ilvl="0" w:tplc="830CCF0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80D132C"/>
    <w:multiLevelType w:val="hybridMultilevel"/>
    <w:tmpl w:val="48DEEBA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DC472C"/>
    <w:multiLevelType w:val="hybridMultilevel"/>
    <w:tmpl w:val="BDD411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82BD0"/>
    <w:multiLevelType w:val="hybridMultilevel"/>
    <w:tmpl w:val="323221E8"/>
    <w:lvl w:ilvl="0" w:tplc="EC0E75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F"/>
    <w:rsid w:val="000618AC"/>
    <w:rsid w:val="00095F07"/>
    <w:rsid w:val="000A49C5"/>
    <w:rsid w:val="000C0CE5"/>
    <w:rsid w:val="00100C58"/>
    <w:rsid w:val="00122058"/>
    <w:rsid w:val="001441E8"/>
    <w:rsid w:val="00151B4C"/>
    <w:rsid w:val="001758C5"/>
    <w:rsid w:val="0018188A"/>
    <w:rsid w:val="00190523"/>
    <w:rsid w:val="00193A77"/>
    <w:rsid w:val="001B0B80"/>
    <w:rsid w:val="001B1F19"/>
    <w:rsid w:val="001B7608"/>
    <w:rsid w:val="001F4657"/>
    <w:rsid w:val="002206B6"/>
    <w:rsid w:val="00262B60"/>
    <w:rsid w:val="00296294"/>
    <w:rsid w:val="002B458E"/>
    <w:rsid w:val="002C1345"/>
    <w:rsid w:val="002E7EF1"/>
    <w:rsid w:val="00302857"/>
    <w:rsid w:val="00351A83"/>
    <w:rsid w:val="003C01DB"/>
    <w:rsid w:val="003D027E"/>
    <w:rsid w:val="0040342A"/>
    <w:rsid w:val="004055EC"/>
    <w:rsid w:val="004229BB"/>
    <w:rsid w:val="00430A69"/>
    <w:rsid w:val="004365DF"/>
    <w:rsid w:val="00445CC4"/>
    <w:rsid w:val="00447CA5"/>
    <w:rsid w:val="00480744"/>
    <w:rsid w:val="0049338A"/>
    <w:rsid w:val="00496BCE"/>
    <w:rsid w:val="004A1AF3"/>
    <w:rsid w:val="004B21DF"/>
    <w:rsid w:val="004F7804"/>
    <w:rsid w:val="00516896"/>
    <w:rsid w:val="005520FE"/>
    <w:rsid w:val="00556044"/>
    <w:rsid w:val="0057303F"/>
    <w:rsid w:val="005D0320"/>
    <w:rsid w:val="005E2889"/>
    <w:rsid w:val="005E6477"/>
    <w:rsid w:val="00620EA6"/>
    <w:rsid w:val="00633823"/>
    <w:rsid w:val="0064218F"/>
    <w:rsid w:val="00685F4C"/>
    <w:rsid w:val="006971F0"/>
    <w:rsid w:val="006B04D3"/>
    <w:rsid w:val="006F0187"/>
    <w:rsid w:val="006F231A"/>
    <w:rsid w:val="007115B3"/>
    <w:rsid w:val="00737010"/>
    <w:rsid w:val="00762871"/>
    <w:rsid w:val="0077011E"/>
    <w:rsid w:val="007B00AE"/>
    <w:rsid w:val="007B77E5"/>
    <w:rsid w:val="007E6D22"/>
    <w:rsid w:val="007F47C4"/>
    <w:rsid w:val="00841BFB"/>
    <w:rsid w:val="00863370"/>
    <w:rsid w:val="008B7DE2"/>
    <w:rsid w:val="00917A0C"/>
    <w:rsid w:val="009440A8"/>
    <w:rsid w:val="0095187A"/>
    <w:rsid w:val="0098250A"/>
    <w:rsid w:val="00997FEF"/>
    <w:rsid w:val="009B1FED"/>
    <w:rsid w:val="009D343F"/>
    <w:rsid w:val="009F0661"/>
    <w:rsid w:val="00A41D48"/>
    <w:rsid w:val="00A57D02"/>
    <w:rsid w:val="00A66331"/>
    <w:rsid w:val="00AC0F3F"/>
    <w:rsid w:val="00AC4E4B"/>
    <w:rsid w:val="00AE0788"/>
    <w:rsid w:val="00B4173C"/>
    <w:rsid w:val="00B50D74"/>
    <w:rsid w:val="00B57E7A"/>
    <w:rsid w:val="00B937DB"/>
    <w:rsid w:val="00BA2449"/>
    <w:rsid w:val="00BF63CA"/>
    <w:rsid w:val="00C5093E"/>
    <w:rsid w:val="00C62E01"/>
    <w:rsid w:val="00C73BA3"/>
    <w:rsid w:val="00C914CF"/>
    <w:rsid w:val="00CF0030"/>
    <w:rsid w:val="00CF42C2"/>
    <w:rsid w:val="00D2555F"/>
    <w:rsid w:val="00D4245A"/>
    <w:rsid w:val="00D551BA"/>
    <w:rsid w:val="00D7637E"/>
    <w:rsid w:val="00DA4961"/>
    <w:rsid w:val="00DD1DEB"/>
    <w:rsid w:val="00DE45E6"/>
    <w:rsid w:val="00DF6745"/>
    <w:rsid w:val="00E20B9A"/>
    <w:rsid w:val="00E45D97"/>
    <w:rsid w:val="00E65167"/>
    <w:rsid w:val="00E7480E"/>
    <w:rsid w:val="00EB3D34"/>
    <w:rsid w:val="00EC2703"/>
    <w:rsid w:val="00EC3F83"/>
    <w:rsid w:val="00EC42B2"/>
    <w:rsid w:val="00ED4018"/>
    <w:rsid w:val="00EF4785"/>
    <w:rsid w:val="00F05967"/>
    <w:rsid w:val="00F351AC"/>
    <w:rsid w:val="00F51990"/>
    <w:rsid w:val="00F72C5A"/>
    <w:rsid w:val="00FA6BCB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4942F-C8E4-4F51-A202-439F7239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57303F"/>
    <w:pPr>
      <w:jc w:val="center"/>
    </w:pPr>
    <w:rPr>
      <w:b/>
      <w:bCs/>
      <w:szCs w:val="20"/>
    </w:rPr>
  </w:style>
  <w:style w:type="paragraph" w:customStyle="1" w:styleId="SNNature">
    <w:name w:val="SNNature"/>
    <w:basedOn w:val="Normal"/>
    <w:next w:val="Normal"/>
    <w:autoRedefine/>
    <w:rsid w:val="0057303F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NORCentr">
    <w:name w:val="SNNOR+Centré"/>
    <w:next w:val="SNAutorit"/>
    <w:rsid w:val="0057303F"/>
    <w:pPr>
      <w:spacing w:after="0" w:line="48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NAutorit">
    <w:name w:val="SNAutorité"/>
    <w:basedOn w:val="Normal"/>
    <w:autoRedefine/>
    <w:rsid w:val="0057303F"/>
    <w:pPr>
      <w:spacing w:after="240"/>
      <w:ind w:firstLine="708"/>
      <w:jc w:val="right"/>
    </w:pPr>
  </w:style>
  <w:style w:type="paragraph" w:customStyle="1" w:styleId="SNTimbre">
    <w:name w:val="SNTimbre"/>
    <w:basedOn w:val="Normal"/>
    <w:link w:val="SNTimbreCar"/>
    <w:autoRedefine/>
    <w:rsid w:val="0057303F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57303F"/>
    <w:rPr>
      <w:rFonts w:ascii="Times New Roman" w:eastAsia="Lucida Sans Unicode" w:hAnsi="Times New Roman" w:cs="Times New Roman"/>
      <w:sz w:val="24"/>
      <w:szCs w:val="24"/>
    </w:rPr>
  </w:style>
  <w:style w:type="paragraph" w:customStyle="1" w:styleId="lieuetdate">
    <w:name w:val="lieu et date"/>
    <w:basedOn w:val="Normal"/>
    <w:rsid w:val="0057303F"/>
    <w:pPr>
      <w:jc w:val="right"/>
    </w:pPr>
  </w:style>
  <w:style w:type="paragraph" w:styleId="Paragraphedeliste">
    <w:name w:val="List Paragraph"/>
    <w:basedOn w:val="Normal"/>
    <w:link w:val="ParagraphedelisteCar"/>
    <w:uiPriority w:val="34"/>
    <w:qFormat/>
    <w:rsid w:val="006B04D3"/>
    <w:pPr>
      <w:spacing w:before="100" w:beforeAutospacing="1" w:after="100" w:afterAutospacing="1"/>
    </w:pPr>
    <w:rPr>
      <w:rFonts w:eastAsiaTheme="minorHAnsi"/>
    </w:rPr>
  </w:style>
  <w:style w:type="character" w:styleId="Marquedecommentaire">
    <w:name w:val="annotation reference"/>
    <w:basedOn w:val="Policepardfaut"/>
    <w:uiPriority w:val="99"/>
    <w:semiHidden/>
    <w:unhideWhenUsed/>
    <w:rsid w:val="006338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38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382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38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382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8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823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DD1DEB"/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1990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3028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0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590EBA6-A623-4243-A5EB-097775CA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RINEAU Isabelle</dc:creator>
  <cp:keywords/>
  <dc:description/>
  <cp:lastModifiedBy>BLAZY Florian</cp:lastModifiedBy>
  <cp:revision>2</cp:revision>
  <dcterms:created xsi:type="dcterms:W3CDTF">2020-11-10T18:16:00Z</dcterms:created>
  <dcterms:modified xsi:type="dcterms:W3CDTF">2020-11-10T18:16:00Z</dcterms:modified>
</cp:coreProperties>
</file>